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4C33DBCB" w:rsidR="00885841" w:rsidRDefault="00EC7D2B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Febrero</w:t>
            </w:r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135EA8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135EA8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135EA8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135EA8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135EA8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135EA8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135EA8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135EA8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135EA8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135EA8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135EA8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135EA8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135EA8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135EA8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135EA8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135EA8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135EA8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135EA8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135EA8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135EA8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135EA8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135EA8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135EA8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135EA8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135EA8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135EA8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135EA8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135EA8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135EA8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135EA8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135EA8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135EA8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135EA8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135EA8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135EA8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135EA8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135EA8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135EA8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135EA8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135EA8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135EA8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135EA8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135EA8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135EA8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135EA8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135EA8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135EA8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135EA8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135EA8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135EA8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135EA8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135EA8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135EA8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135EA8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135EA8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135EA8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135EA8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135EA8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135EA8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135EA8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135EA8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135EA8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135EA8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135EA8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135EA8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135EA8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135EA8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135EA8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04D8" w14:textId="77777777" w:rsidR="00055D68" w:rsidRDefault="00055D68" w:rsidP="00055D68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25CEF2BB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  <w:bookmarkStart w:id="0" w:name="_GoBack"/>
            <w:bookmarkEnd w:id="0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135EA8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317543D3" w:rsidR="0049071B" w:rsidRDefault="00EC3982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135EA8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51AF251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78CBECA1" w14:textId="1996FE7F" w:rsidR="00885841" w:rsidRDefault="00885841" w:rsidP="00F812CA">
            <w:pPr>
              <w:pStyle w:val="TableParagraph"/>
              <w:spacing w:line="270" w:lineRule="atLeast"/>
              <w:ind w:left="7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135EA8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135EA8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2BBCB203" w14:textId="77777777" w:rsidR="00070E59" w:rsidRDefault="00070E5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2AE83A1E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7F014730" w14:textId="561170D6" w:rsidR="00885841" w:rsidRDefault="00885841" w:rsidP="00D225C9">
            <w:pPr>
              <w:pStyle w:val="TableParagraph"/>
              <w:spacing w:before="3" w:line="228" w:lineRule="auto"/>
              <w:ind w:left="7"/>
              <w:jc w:val="center"/>
            </w:pP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135EA8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18C9459F" w:rsidR="00885841" w:rsidRDefault="001843D0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33039141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40CB65E9" w14:textId="01DDBF61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411F3036" w14:textId="04CCD31B" w:rsidR="00885841" w:rsidRDefault="00885841" w:rsidP="00972AF3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135EA8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E71A70E" w:rsidR="00E02444" w:rsidRDefault="00384C0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48DC7922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560B9585" w14:textId="73259BC2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135EA8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135EA8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lastRenderedPageBreak/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42F840D8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lastRenderedPageBreak/>
              <w:t>Febrero 2024</w:t>
            </w:r>
          </w:p>
          <w:p w14:paraId="330CA710" w14:textId="60AE0DCF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lastRenderedPageBreak/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135EA8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="001E4044" w:rsidRPr="00447300">
                <w:rPr>
                  <w:rStyle w:val="Hipervnculo"/>
                </w:rPr>
                <w:t>https://gobernacionsanjuan.gob.do/transparencia/d</w:t>
              </w:r>
              <w:r w:rsidR="001E4044" w:rsidRPr="00447300">
                <w:rPr>
                  <w:rStyle w:val="Hipervnculo"/>
                </w:rPr>
                <w:lastRenderedPageBreak/>
                <w:t>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44889209" w:rsidR="0049071B" w:rsidRDefault="0036646D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135EA8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F703AA4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056C6649" w14:textId="46D1FA3E" w:rsidR="00E77754" w:rsidRDefault="00E77754" w:rsidP="008F75D6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135EA8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135EA8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135EA8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0E261D6D" w14:textId="77777777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ED1532A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0C1B4B58" w14:textId="6A670FAD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135EA8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B20F515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11173D98" w14:textId="772A69F4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135EA8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135EA8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655E3B97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018BC49E" w14:textId="363FE238" w:rsidR="00A461E5" w:rsidRPr="003A3326" w:rsidRDefault="00A461E5" w:rsidP="008057C5">
            <w:pPr>
              <w:pStyle w:val="TableParagraph"/>
              <w:spacing w:before="1" w:line="264" w:lineRule="exact"/>
              <w:ind w:left="52"/>
              <w:jc w:val="center"/>
            </w:pP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135EA8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135EA8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135EA8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9BB5E49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6879C0CE" w14:textId="497A66D3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135EA8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AB12A94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6EC69573" w14:textId="4E52CFC3" w:rsidR="003969E4" w:rsidRDefault="003969E4" w:rsidP="003969E4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263C34E9" w:rsidR="007D34D3" w:rsidRDefault="007D34D3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135EA8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124C547" w14:textId="77777777" w:rsidR="00B22D8B" w:rsidRDefault="00B22D8B" w:rsidP="00B22D8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619AB7B0" w14:textId="1C2BD286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135EA8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C285456" w14:textId="77777777" w:rsidR="00EC7D2B" w:rsidRDefault="00EC7D2B" w:rsidP="00EC7D2B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  <w:p w14:paraId="4AD81DA0" w14:textId="25E56389" w:rsidR="00070E59" w:rsidRDefault="00070E59" w:rsidP="00070E5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7331733C" w14:textId="7DD30638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135EA8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0EF85D61" w14:textId="30E0D6AF" w:rsidR="008151EF" w:rsidRDefault="00EC7D2B" w:rsidP="008151EF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</w:t>
            </w:r>
            <w:r w:rsidR="008151EF">
              <w:t xml:space="preserve"> 2024</w:t>
            </w:r>
          </w:p>
          <w:p w14:paraId="3CF556EA" w14:textId="2C5333D6" w:rsidR="00416EE6" w:rsidRDefault="00416EE6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135EA8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135EA8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135EA8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135EA8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135EA8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135EA8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135EA8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EC5AB" w14:textId="77777777" w:rsidR="00135EA8" w:rsidRDefault="00135EA8" w:rsidP="00FE59FD">
      <w:r>
        <w:separator/>
      </w:r>
    </w:p>
  </w:endnote>
  <w:endnote w:type="continuationSeparator" w:id="0">
    <w:p w14:paraId="78B50A83" w14:textId="77777777" w:rsidR="00135EA8" w:rsidRDefault="00135EA8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57B38" w14:textId="77777777" w:rsidR="00135EA8" w:rsidRDefault="00135EA8" w:rsidP="00FE59FD">
      <w:r>
        <w:separator/>
      </w:r>
    </w:p>
  </w:footnote>
  <w:footnote w:type="continuationSeparator" w:id="0">
    <w:p w14:paraId="72BED59D" w14:textId="77777777" w:rsidR="00135EA8" w:rsidRDefault="00135EA8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070E59" w:rsidRDefault="00070E59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070E59" w:rsidRPr="00FE59FD" w:rsidRDefault="00070E5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070E59" w:rsidRPr="000D0754" w:rsidRDefault="00070E5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070E59" w:rsidRPr="00FE59FD" w:rsidRDefault="00070E5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070E59" w:rsidRPr="00FE59FD" w:rsidRDefault="00070E5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55D68"/>
    <w:rsid w:val="000671E8"/>
    <w:rsid w:val="00070E59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5EA8"/>
    <w:rsid w:val="0013646B"/>
    <w:rsid w:val="00145534"/>
    <w:rsid w:val="00145A53"/>
    <w:rsid w:val="0015426F"/>
    <w:rsid w:val="00183D28"/>
    <w:rsid w:val="001843D0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0E62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6646D"/>
    <w:rsid w:val="0037643C"/>
    <w:rsid w:val="00376B4A"/>
    <w:rsid w:val="00377FB5"/>
    <w:rsid w:val="00380102"/>
    <w:rsid w:val="00384C01"/>
    <w:rsid w:val="00393019"/>
    <w:rsid w:val="003969E4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7249F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65B1F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506A1"/>
    <w:rsid w:val="00752FFB"/>
    <w:rsid w:val="007539A4"/>
    <w:rsid w:val="00763417"/>
    <w:rsid w:val="00772FB0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151EF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20049"/>
    <w:rsid w:val="00920C38"/>
    <w:rsid w:val="00921D91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01D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37AA"/>
    <w:rsid w:val="00AD4975"/>
    <w:rsid w:val="00AE62CC"/>
    <w:rsid w:val="00AE722B"/>
    <w:rsid w:val="00B05129"/>
    <w:rsid w:val="00B06F91"/>
    <w:rsid w:val="00B22D8B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5DB3"/>
    <w:rsid w:val="00B97E0A"/>
    <w:rsid w:val="00BA4701"/>
    <w:rsid w:val="00BA5F1E"/>
    <w:rsid w:val="00BC17FA"/>
    <w:rsid w:val="00BD59F0"/>
    <w:rsid w:val="00BE5A20"/>
    <w:rsid w:val="00C11A62"/>
    <w:rsid w:val="00C12947"/>
    <w:rsid w:val="00C21DD5"/>
    <w:rsid w:val="00C22FCB"/>
    <w:rsid w:val="00C41026"/>
    <w:rsid w:val="00C51230"/>
    <w:rsid w:val="00C57999"/>
    <w:rsid w:val="00C62A49"/>
    <w:rsid w:val="00C66546"/>
    <w:rsid w:val="00C76231"/>
    <w:rsid w:val="00C76343"/>
    <w:rsid w:val="00C86E88"/>
    <w:rsid w:val="00C91C33"/>
    <w:rsid w:val="00C91EDF"/>
    <w:rsid w:val="00C926B9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71BEF"/>
    <w:rsid w:val="00D82128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3982"/>
    <w:rsid w:val="00EC4C2F"/>
    <w:rsid w:val="00EC7D2B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C701-F6A1-4B69-AB91-E612BFC9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6636</Words>
  <Characters>36502</Characters>
  <Application>Microsoft Office Word</Application>
  <DocSecurity>0</DocSecurity>
  <Lines>304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4</cp:revision>
  <cp:lastPrinted>2024-08-02T16:13:00Z</cp:lastPrinted>
  <dcterms:created xsi:type="dcterms:W3CDTF">2024-08-21T18:07:00Z</dcterms:created>
  <dcterms:modified xsi:type="dcterms:W3CDTF">2024-08-21T18:09:00Z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